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/>
    </w:p>
    <w:p>
      <w:pPr>
        <w:pStyle w:val="Heading1"/>
      </w:pPr>
      <w:r>
        <w:t xml:space="preserve">MyGestion — protocole de test élève</w:t>
      </w:r>
    </w:p>
    <w:p>
      <w:pPr/>
      <w:r>
        <w:t xml:space="preserve">Oct 29, 2026</w:t>
      </w:r>
      <w:r>
        <w:t xml:space="preserve"> · </w:t>
      </w:r>
      <w:r>
        <w:t xml:space="preserve">@MyEleec</w:t>
      </w:r>
    </w:p>
    <w:p>
      <w:pPr/>
      <w:r>
        <w:t xml:space="preserve">Parcours complet d'un élève sur l'entreprise Cycles Martin, dans l'ordre : chaque étape s'appuie sur la précédente. Coche chaque test et note les écarts avec une capture.</w:t>
      </w:r>
    </w:p>
    <w:p>
      <w:pPr>
        <w:pStyle w:val="Heading2"/>
      </w:pPr>
      <w:r>
        <w:t xml:space="preserve">Avant de commencer</w:t>
      </w:r>
    </w:p>
    <w:p>
      <w:pPr>
        <w:pStyle w:val="ListParagraph"/>
        <w:numPr>
          <w:ilvl w:val="0"/>
          <w:numId w:val="2"/>
        </w:numPr>
      </w:pPr>
      <w:r>
        <w:t xml:space="preserve">☐ Les derniers fichiers sont envoyés en FTP (dernier </w:t>
      </w:r>
      <w:r>
        <w:rPr>
          <w:rStyle w:val="CodeChar"/>
        </w:rPr>
        <w:t xml:space="preserve">MyGestion.zip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☐ L'élève est dans une classe du compte admin ou d'un prof sous licence. Sinon, les modules achats, stock, caisse, compta, immos, paie et sauvegarde sont verrouillés et la pub s'affiche.</w:t>
      </w:r>
    </w:p>
    <w:p>
      <w:pPr>
        <w:pStyle w:val="ListParagraph"/>
        <w:numPr>
          <w:ilvl w:val="0"/>
          <w:numId w:val="2"/>
        </w:numPr>
      </w:pPr>
      <w:r>
        <w:t xml:space="preserve">☐ Sauvegarde → Télécharger la sauvegarde, pour tout restaurer à la fin.</w:t>
      </w:r>
    </w:p>
    <w:p>
      <w:pPr/>
      <w:r>
        <w:t xml:space="preserve">Réflexes à connaître pendant tout le test :</w:t>
      </w:r>
    </w:p>
    <w:p>
      <w:pPr>
        <w:pStyle w:val="ListParagraph"/>
        <w:numPr>
          <w:ilvl w:val="0"/>
          <w:numId w:val="3"/>
        </w:numPr>
      </w:pPr>
      <w:r>
        <w:t xml:space="preserve">Sur chaque ligne de pièce, choisir l'article dans la colonne </w:t>
      </w:r>
      <w:r>
        <w:rPr>
          <w:b/>
        </w:rPr>
        <w:t xml:space="preserve">Article</w:t>
      </w:r>
      <w:r>
        <w:t xml:space="preserve"> plutôt que « Texte libre ». Une désignation tapée à la main n'est reliée au stock que si elle est identique à celle du catalogue.</w:t>
      </w:r>
    </w:p>
    <w:p>
      <w:pPr>
        <w:pStyle w:val="ListParagraph"/>
        <w:numPr>
          <w:ilvl w:val="0"/>
          <w:numId w:val="3"/>
        </w:numPr>
      </w:pPr>
      <w:r>
        <w:t xml:space="preserve">Les boutons de transformation et de création sont dans le cadre </w:t>
      </w:r>
      <w:r>
        <w:rPr>
          <w:b/>
        </w:rPr>
        <w:t xml:space="preserve">Actions</w:t>
      </w:r>
      <w:r>
        <w:t xml:space="preserve">, à droite de la pièce.</w:t>
      </w:r>
    </w:p>
    <w:p>
      <w:pPr>
        <w:pStyle w:val="ListParagraph"/>
        <w:numPr>
          <w:ilvl w:val="0"/>
          <w:numId w:val="3"/>
        </w:numPr>
      </w:pPr>
      <w:r>
        <w:t xml:space="preserve">Le cadre </w:t>
      </w:r>
      <w:r>
        <w:rPr>
          <w:b/>
        </w:rPr>
        <w:t xml:space="preserve">Circuit du document</w:t>
      </w:r>
      <w:r>
        <w:t xml:space="preserve"> permet de remonter à la pièce d'origine (devis, commande, bon de livraison…).</w:t>
      </w:r>
    </w:p>
    <w:p>
      <w:pPr>
        <w:pStyle w:val="ListParagraph"/>
        <w:numPr>
          <w:ilvl w:val="0"/>
          <w:numId w:val="3"/>
        </w:numPr>
      </w:pPr>
      <w:r>
        <w:t xml:space="preserve">Toutes les pièces de vente sont dans </w:t>
      </w:r>
      <w:r>
        <w:rPr>
          <w:b/>
        </w:rPr>
        <w:t xml:space="preserve">Ventes</w:t>
      </w:r>
      <w:r>
        <w:t xml:space="preserve">, rangées par onglets : Devis, Commandes, Bons de livraison, Factures, Avoirs, Retours clients. Même principe dans </w:t>
      </w:r>
      <w:r>
        <w:rPr>
          <w:b/>
        </w:rPr>
        <w:t xml:space="preserve">Achats</w:t>
      </w:r>
      <w:r>
        <w:t xml:space="preserve">.</w:t>
      </w:r>
    </w:p>
    <w:p>
      <w:pPr>
        <w:pStyle w:val="ListParagraph"/>
        <w:numPr>
          <w:ilvl w:val="0"/>
          <w:numId w:val="3"/>
        </w:numPr>
      </w:pPr>
      <w:r>
        <w:t xml:space="preserve">Après une mise à jour de </w:t>
      </w:r>
      <w:r>
        <w:rPr>
          <w:rStyle w:val="CodeChar"/>
        </w:rPr>
        <w:t xml:space="preserve">style.css</w:t>
      </w:r>
      <w:r>
        <w:t xml:space="preserve">, faire Ctrl + F5.</w:t>
      </w:r>
    </w:p>
    <w:p>
      <w:pPr>
        <w:pStyle w:val="Heading2"/>
      </w:pPr>
      <w:r>
        <w:t xml:space="preserve">1. Prise en main</w:t>
      </w:r>
    </w:p>
    <w:p>
      <w:pPr>
        <w:pStyle w:val="ListParagraph"/>
        <w:numPr>
          <w:ilvl w:val="0"/>
          <w:numId w:val="4"/>
        </w:numPr>
      </w:pPr>
      <w:r>
        <w:t xml:space="preserve">☐ </w:t>
      </w:r>
      <w:r>
        <w:rPr>
          <w:b/>
        </w:rPr>
        <w:t xml:space="preserve">Tableau de bord</w:t>
      </w:r>
      <w:r>
        <w:t xml:space="preserve"> : les indicateurs s'affichent (CA, trésorerie, tâches en retard, clients à encaisser, alertes stock).</w:t>
      </w:r>
    </w:p>
    <w:p>
      <w:pPr>
        <w:pStyle w:val="ListParagraph"/>
        <w:numPr>
          <w:ilvl w:val="0"/>
          <w:numId w:val="4"/>
        </w:numPr>
      </w:pPr>
      <w:r>
        <w:t xml:space="preserve">☐ </w:t>
      </w:r>
      <w:r>
        <w:rPr>
          <w:b/>
        </w:rPr>
        <w:t xml:space="preserve">Notifications</w:t>
      </w:r>
      <w:r>
        <w:t xml:space="preserve"> : le message de bienvenue est là. « Marquer comme traité » fait baisser le compteur rouge du menu.</w:t>
      </w:r>
    </w:p>
    <w:p>
      <w:pPr>
        <w:pStyle w:val="ListParagraph"/>
        <w:numPr>
          <w:ilvl w:val="0"/>
          <w:numId w:val="4"/>
        </w:numPr>
      </w:pPr>
      <w:r>
        <w:t xml:space="preserve">☐ Drapeau anglais puis drapeau français : toute l'interface passe en anglais puis revient. Les noms de clients et d'articles restent en français.</w:t>
      </w:r>
    </w:p>
    <w:p>
      <w:pPr>
        <w:pStyle w:val="ListParagraph"/>
        <w:numPr>
          <w:ilvl w:val="0"/>
          <w:numId w:val="4"/>
        </w:numPr>
      </w:pPr>
      <w:r>
        <w:t xml:space="preserve">☐ Aucune publicité ne s'affiche, puisque le prof a une licence.</w:t>
      </w:r>
    </w:p>
    <w:p>
      <w:pPr>
        <w:pStyle w:val="Heading2"/>
      </w:pPr>
      <w:r>
        <w:t xml:space="preserve">2. CRM</w:t>
      </w:r>
    </w:p>
    <w:p>
      <w:pPr>
        <w:pStyle w:val="ListParagraph"/>
        <w:numPr>
          <w:ilvl w:val="0"/>
          <w:numId w:val="5"/>
        </w:numPr>
      </w:pPr>
      <w:r>
        <w:t xml:space="preserve">☐ </w:t>
      </w:r>
      <w:r>
        <w:rPr>
          <w:b/>
        </w:rPr>
        <w:t xml:space="preserve">Contacts → Nouveau contact</w:t>
      </w:r>
      <w:r>
        <w:t xml:space="preserve"> : créer un prospect « Test Vélo », sans e-mail.</w:t>
      </w:r>
    </w:p>
    <w:p>
      <w:pPr>
        <w:pStyle w:val="ListParagraph"/>
        <w:numPr>
          <w:ilvl w:val="0"/>
          <w:numId w:val="5"/>
        </w:numPr>
      </w:pPr>
      <w:r>
        <w:t xml:space="preserve">☐ Sur sa fiche, ajouter un </w:t>
      </w:r>
      <w:r>
        <w:rPr>
          <w:b/>
        </w:rPr>
        <w:t xml:space="preserve">Appel</w:t>
      </w:r>
      <w:r>
        <w:t xml:space="preserve">, puis une </w:t>
      </w:r>
      <w:r>
        <w:rPr>
          <w:b/>
        </w:rPr>
        <w:t xml:space="preserve">Tâche</w:t>
      </w:r>
      <w:r>
        <w:t xml:space="preserve"> datée de demain. Les deux apparaissent dans l'historique et dans </w:t>
      </w:r>
      <w:r>
        <w:rPr>
          <w:b/>
        </w:rPr>
        <w:t xml:space="preserve">Activités</w:t>
      </w:r>
      <w:r>
        <w:t xml:space="preserve">.</w:t>
      </w:r>
    </w:p>
    <w:p>
      <w:pPr>
        <w:pStyle w:val="ListParagraph"/>
        <w:numPr>
          <w:ilvl w:val="0"/>
          <w:numId w:val="5"/>
        </w:numPr>
      </w:pPr>
      <w:r>
        <w:t xml:space="preserve">☐ </w:t>
      </w:r>
      <w:r>
        <w:rPr>
          <w:b/>
        </w:rPr>
        <w:t xml:space="preserve">Activités</w:t>
      </w:r>
      <w:r>
        <w:t xml:space="preserve"> : cocher la tâche en retard « Rappeler M. Fontaine… ». Elle passe en « fait ».</w:t>
      </w:r>
    </w:p>
    <w:p>
      <w:pPr>
        <w:pStyle w:val="ListParagraph"/>
        <w:numPr>
          <w:ilvl w:val="0"/>
          <w:numId w:val="5"/>
        </w:numPr>
      </w:pPr>
      <w:r>
        <w:t xml:space="preserve">☐ </w:t>
      </w:r>
      <w:r>
        <w:rPr>
          <w:b/>
        </w:rPr>
        <w:t xml:space="preserve">Pipeline → Nouvelle opportunité</w:t>
      </w:r>
      <w:r>
        <w:t xml:space="preserve"> pour Test Vélo, 2 000 €. Faire glisser la carte jusqu'à </w:t>
      </w:r>
      <w:r>
        <w:rPr>
          <w:b/>
        </w:rPr>
        <w:t xml:space="preserve">Gagné</w:t>
      </w:r>
      <w:r>
        <w:t xml:space="preserve"> : le contact devient « Client ».</w:t>
      </w:r>
    </w:p>
    <w:p>
      <w:pPr>
        <w:pStyle w:val="ListParagraph"/>
        <w:numPr>
          <w:ilvl w:val="0"/>
          <w:numId w:val="5"/>
        </w:numPr>
      </w:pPr>
      <w:r>
        <w:t xml:space="preserve">☐ Passer une autre opportunité en </w:t>
      </w:r>
      <w:r>
        <w:rPr>
          <w:b/>
        </w:rPr>
        <w:t xml:space="preserve">Perdu</w:t>
      </w:r>
      <w:r>
        <w:t xml:space="preserve"> : l'appli demande le motif.</w:t>
      </w:r>
    </w:p>
    <w:p>
      <w:pPr>
        <w:pStyle w:val="Heading2"/>
      </w:pPr>
      <w:r>
        <w:t xml:space="preserve">3. Ventes : le circuit complet</w:t>
      </w:r>
    </w:p>
    <w:p>
      <w:pPr/>
      <w:r>
        <w:t xml:space="preserve">Le stock sort au bon de livraison. Une commande ou un bon de livraison encore en brouillon est validé automatiquement quand on le transforme.</w:t>
      </w:r>
    </w:p>
    <w:p>
      <w:pPr/>
      <w:r>
        <w:rPr>
          <w:b/>
        </w:rPr>
        <w:t xml:space="preserve">Du devis à la facture</w:t>
      </w:r>
    </w:p>
    <w:p>
      <w:pPr>
        <w:pStyle w:val="ListParagraph"/>
        <w:numPr>
          <w:ilvl w:val="0"/>
          <w:numId w:val="6"/>
        </w:numPr>
      </w:pPr>
      <w:r>
        <w:t xml:space="preserve">☐ </w:t>
      </w:r>
      <w:r>
        <w:rPr>
          <w:b/>
        </w:rPr>
        <w:t xml:space="preserve">Ventes → + Devis</w:t>
      </w:r>
      <w:r>
        <w:t xml:space="preserve">, client Test Vélo, article VAE-URB choisi dans la colonne Article, quantité 1. Contrôle : total TTC = HT × 1,20 (1 990 HT → 2 388 TTC).</w:t>
      </w:r>
    </w:p>
    <w:p>
      <w:pPr>
        <w:pStyle w:val="ListParagraph"/>
        <w:numPr>
          <w:ilvl w:val="0"/>
          <w:numId w:val="6"/>
        </w:numPr>
      </w:pPr>
      <w:r>
        <w:t xml:space="preserve">☐ Les flèches de la quantité avancent de 1 en 1.</w:t>
      </w:r>
    </w:p>
    <w:p>
      <w:pPr>
        <w:pStyle w:val="ListParagraph"/>
        <w:numPr>
          <w:ilvl w:val="0"/>
          <w:numId w:val="6"/>
        </w:numPr>
      </w:pPr>
      <w:r>
        <w:t xml:space="preserve">☐ Remise à 150 % : refusée, ramenée à 100 % maximum.</w:t>
      </w:r>
    </w:p>
    <w:p>
      <w:pPr>
        <w:pStyle w:val="ListParagraph"/>
        <w:numPr>
          <w:ilvl w:val="0"/>
          <w:numId w:val="6"/>
        </w:numPr>
      </w:pPr>
      <w:r>
        <w:t xml:space="preserve">☐ Devis : Marquer comme envoyé → Accepté par le client → Transformer en commande client.</w:t>
      </w:r>
    </w:p>
    <w:p>
      <w:pPr>
        <w:pStyle w:val="ListParagraph"/>
        <w:numPr>
          <w:ilvl w:val="0"/>
          <w:numId w:val="6"/>
        </w:numPr>
      </w:pPr>
      <w:r>
        <w:t xml:space="preserve">☐ Commande : Transformer en bon de livraison, puis Enregistrer et valider le bon de livraison.</w:t>
      </w:r>
    </w:p>
    <w:p>
      <w:pPr>
        <w:pStyle w:val="ListParagraph"/>
        <w:numPr>
          <w:ilvl w:val="0"/>
          <w:numId w:val="6"/>
        </w:numPr>
      </w:pPr>
      <w:r>
        <w:t xml:space="preserve">☐ Contrôle : stock du VAE − 1 dans Articles &amp; stock, et la sortie apparaît dans l'onglet Mouvements.</w:t>
      </w:r>
    </w:p>
    <w:p>
      <w:pPr>
        <w:pStyle w:val="ListParagraph"/>
        <w:numPr>
          <w:ilvl w:val="0"/>
          <w:numId w:val="6"/>
        </w:numPr>
      </w:pPr>
      <w:r>
        <w:t xml:space="preserve">☐ Bon de livraison : Transformer en facture → Enregistrer et valider. La facture reçoit un numéro FAC-…, n'est plus modifiable, et le stock ne bouge pas une deuxième fois.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6451"/>
        <w:gridCol w:w="1454"/>
        <w:gridCol w:w="1454"/>
      </w:tblGrid>
      <w:tr>
        <w:trPr>
          <w:tblHeader/>
        </w:trPr>
        <w:tc>
          <w:tcPr>
            <w:tcW w:w="6451" w:type="dxa"/>
            <w:shd w:val="clear" w:color="auto" w:fill="F2F2F2"/>
          </w:tcPr>
          <w:p>
            <w:pPr/>
            <w:r>
              <w:t xml:space="preserve">Compte</w:t>
            </w:r>
          </w:p>
        </w:tc>
        <w:tc>
          <w:tcPr>
            <w:tcW w:w="1454" w:type="dxa"/>
            <w:shd w:val="clear" w:color="auto" w:fill="F2F2F2"/>
          </w:tcPr>
          <w:p>
            <w:pPr/>
            <w:r>
              <w:t xml:space="preserve">Débit</w:t>
            </w:r>
          </w:p>
        </w:tc>
        <w:tc>
          <w:tcPr>
            <w:tcW w:w="1454" w:type="dxa"/>
            <w:shd w:val="clear" w:color="auto" w:fill="F2F2F2"/>
          </w:tcPr>
          <w:p>
            <w:pPr/>
            <w:r>
              <w:t xml:space="preserve">Crédit</w:t>
            </w:r>
          </w:p>
        </w:tc>
      </w:tr>
      <w:tr>
        <w:tc>
          <w:tcPr>
            <w:tcW w:w="6451" w:type="dxa"/>
          </w:tcPr>
          <w:p>
            <w:pPr/>
            <w:r>
              <w:t xml:space="preserve">411 Clients</w:t>
            </w:r>
          </w:p>
        </w:tc>
        <w:tc>
          <w:tcPr>
            <w:tcW w:w="1454" w:type="dxa"/>
          </w:tcPr>
          <w:p>
            <w:pPr/>
            <w:r>
              <w:t xml:space="preserve">2 388,00</w:t>
            </w:r>
          </w:p>
        </w:tc>
        <w:tc>
          <w:tcPr>
            <w:tcW w:w="1454" w:type="dxa"/>
          </w:tcPr>
          <w:p>
            <w:pPr/>
          </w:p>
        </w:tc>
      </w:tr>
      <w:tr>
        <w:tc>
          <w:tcPr>
            <w:tcW w:w="6451" w:type="dxa"/>
          </w:tcPr>
          <w:p>
            <w:pPr/>
            <w:r>
              <w:t xml:space="preserve">707 Ventes de marchandises (706 si service)</w:t>
            </w:r>
          </w:p>
        </w:tc>
        <w:tc>
          <w:tcPr>
            <w:tcW w:w="1454" w:type="dxa"/>
          </w:tcPr>
          <w:p>
            <w:pPr/>
          </w:p>
        </w:tc>
        <w:tc>
          <w:tcPr>
            <w:tcW w:w="1454" w:type="dxa"/>
          </w:tcPr>
          <w:p>
            <w:pPr/>
            <w:r>
              <w:t xml:space="preserve">1 990,00</w:t>
            </w:r>
          </w:p>
        </w:tc>
      </w:tr>
      <w:tr>
        <w:tc>
          <w:tcPr>
            <w:tcW w:w="6451" w:type="dxa"/>
          </w:tcPr>
          <w:p>
            <w:pPr/>
            <w:r>
              <w:t xml:space="preserve">44571 TVA collectée</w:t>
            </w:r>
          </w:p>
        </w:tc>
        <w:tc>
          <w:tcPr>
            <w:tcW w:w="1454" w:type="dxa"/>
          </w:tcPr>
          <w:p>
            <w:pPr/>
          </w:p>
        </w:tc>
        <w:tc>
          <w:tcPr>
            <w:tcW w:w="1454" w:type="dxa"/>
          </w:tcPr>
          <w:p>
            <w:pPr/>
            <w:r>
              <w:t xml:space="preserve">398,00</w:t>
            </w:r>
          </w:p>
        </w:tc>
      </w:tr>
    </w:tbl>
    <w:p>
      <w:pPr/>
      <w:r>
        <w:rPr>
          <w:b/>
        </w:rPr>
        <w:t xml:space="preserve">Règlements</w:t>
      </w:r>
    </w:p>
    <w:p>
      <w:pPr>
        <w:pStyle w:val="ListParagraph"/>
        <w:numPr>
          <w:ilvl w:val="0"/>
          <w:numId w:val="7"/>
        </w:numPr>
      </w:pPr>
      <w:r>
        <w:t xml:space="preserve">☐ Règlement de 500 € : statut « Partiel · reste 1 888,00 € ».</w:t>
      </w:r>
    </w:p>
    <w:p>
      <w:pPr>
        <w:pStyle w:val="ListParagraph"/>
        <w:numPr>
          <w:ilvl w:val="0"/>
          <w:numId w:val="7"/>
        </w:numPr>
      </w:pPr>
      <w:r>
        <w:t xml:space="preserve">☐ Règlement de 2 000 € : refusé, plus que le reste dû.</w:t>
      </w:r>
    </w:p>
    <w:p>
      <w:pPr>
        <w:pStyle w:val="ListParagraph"/>
        <w:numPr>
          <w:ilvl w:val="0"/>
          <w:numId w:val="7"/>
        </w:numPr>
      </w:pPr>
      <w:r>
        <w:t xml:space="preserve">☐ Règlement de 1 888 € : statut « Payée », message « soldée et lettrée automatiquement », et une lettre apparaît sur le 411 de l'écriture.</w:t>
      </w:r>
    </w:p>
    <w:p>
      <w:pPr>
        <w:pStyle w:val="ListParagraph"/>
        <w:numPr>
          <w:ilvl w:val="0"/>
          <w:numId w:val="7"/>
        </w:numPr>
      </w:pPr>
      <w:r>
        <w:t xml:space="preserve">☐ Imprimer / PDF : facture propre, mentions légales, sans pub.</w:t>
      </w:r>
    </w:p>
    <w:p>
      <w:pPr>
        <w:pStyle w:val="ListParagraph"/>
        <w:numPr>
          <w:ilvl w:val="0"/>
          <w:numId w:val="7"/>
        </w:numPr>
      </w:pPr>
      <w:r>
        <w:t xml:space="preserve">☐ Encaisser la facture en retard de Julie Moreau : les clients à encaisser baissent sur le tableau de bord.</w:t>
      </w:r>
    </w:p>
    <w:p>
      <w:pPr/>
      <w:r>
        <w:rPr>
          <w:b/>
        </w:rPr>
        <w:t xml:space="preserve">Retour et avoir</w:t>
      </w:r>
      <w:r>
        <w:t xml:space="preserve"> — le retour se crée depuis le bon de livraison, pas depuis la facture.</w:t>
      </w:r>
    </w:p>
    <w:p>
      <w:pPr>
        <w:pStyle w:val="ListParagraph"/>
        <w:numPr>
          <w:ilvl w:val="0"/>
          <w:numId w:val="8"/>
        </w:numPr>
      </w:pPr>
      <w:r>
        <w:t xml:space="preserve">☐ Depuis la facture, Circuit du document → Bon de livraison → Créer un bon de retour client.</w:t>
      </w:r>
    </w:p>
    <w:p>
      <w:pPr>
        <w:pStyle w:val="ListParagraph"/>
        <w:numPr>
          <w:ilvl w:val="0"/>
          <w:numId w:val="8"/>
        </w:numPr>
      </w:pPr>
      <w:r>
        <w:t xml:space="preserve">☐ Quantité 1, motif dans les notes, Enregistrer et valider : le stock remonte de 1.</w:t>
      </w:r>
    </w:p>
    <w:p>
      <w:pPr>
        <w:pStyle w:val="ListParagraph"/>
        <w:numPr>
          <w:ilvl w:val="0"/>
          <w:numId w:val="8"/>
        </w:numPr>
      </w:pPr>
      <w:r>
        <w:t xml:space="preserve">☐ Sur le bon de retour : Créer un avoir → Enregistrer et valider. Numéro AV-…, écriture inverse de la facture (707 et 44571 au débit, 411 au crédit), stock inchangé.</w:t>
      </w:r>
    </w:p>
    <w:p>
      <w:pPr>
        <w:pStyle w:val="ListParagraph"/>
        <w:numPr>
          <w:ilvl w:val="0"/>
          <w:numId w:val="8"/>
        </w:numPr>
      </w:pPr>
      <w:r>
        <w:t xml:space="preserve">☐ Sur la facture, le cadre Encaissements liste l'avoir (− 2 388,00 €).</w:t>
      </w:r>
    </w:p>
    <w:p>
      <w:pPr>
        <w:pStyle w:val="ListParagraph"/>
        <w:numPr>
          <w:ilvl w:val="0"/>
          <w:numId w:val="8"/>
        </w:numPr>
      </w:pPr>
      <w:r>
        <w:t xml:space="preserve">☐ Facture non payée avant l'avoir : le reste à encaisser tombe à 0 et tout est lettré.</w:t>
      </w:r>
    </w:p>
    <w:p>
      <w:pPr>
        <w:pStyle w:val="ListParagraph"/>
        <w:numPr>
          <w:ilvl w:val="0"/>
          <w:numId w:val="8"/>
        </w:numPr>
      </w:pPr>
      <w:r>
        <w:t xml:space="preserve">☐ Facture déjà payée : message « tu dois rembourser 2 388,00 € ». Sur l'avoir, enregistrer le remboursement : il passe « Soldé », écriture 411 au débit / 512 au crédit, et l'avoir est lettré avec son remboursement.</w:t>
      </w:r>
    </w:p>
    <w:p>
      <w:pPr>
        <w:pStyle w:val="Heading2"/>
      </w:pPr>
      <w:r>
        <w:t xml:space="preserve">4. Erreurs volontaires</w:t>
      </w:r>
    </w:p>
    <w:p>
      <w:pPr/>
      <w:r>
        <w:t xml:space="preserve">Chaque essai doit être refusé, la pièce reste en brouillon, et seul un message rouge s'affiche.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440"/>
        <w:gridCol w:w="4920"/>
      </w:tblGrid>
      <w:tr>
        <w:trPr>
          <w:tblHeader/>
        </w:trPr>
        <w:tc>
          <w:tcPr>
            <w:tcW w:w="4440" w:type="dxa"/>
            <w:shd w:val="clear" w:color="auto" w:fill="F2F2F2"/>
          </w:tcPr>
          <w:p>
            <w:pPr/>
            <w:r>
              <w:t xml:space="preserve">Essai</w:t>
            </w:r>
          </w:p>
        </w:tc>
        <w:tc>
          <w:tcPr>
            <w:tcW w:w="4920" w:type="dxa"/>
            <w:shd w:val="clear" w:color="auto" w:fill="F2F2F2"/>
          </w:tcPr>
          <w:p>
            <w:pPr/>
            <w:r>
              <w:t xml:space="preserve">Message attendu</w:t>
            </w:r>
          </w:p>
        </w:tc>
      </w:tr>
      <w:tr>
        <w:tc>
          <w:tcPr>
            <w:tcW w:w="4440" w:type="dxa"/>
          </w:tcPr>
          <w:p>
            <w:pPr/>
            <w:r>
              <w:t xml:space="preserve">Facture sans aucune ligne</w:t>
            </w:r>
          </w:p>
        </w:tc>
        <w:tc>
          <w:tcPr>
            <w:tcW w:w="4920" w:type="dxa"/>
          </w:tcPr>
          <w:p>
            <w:pPr/>
            <w:r>
              <w:t xml:space="preserve">Impossible de valider : la pièce est vide (aucune ligne). Elle reste en brouillon.</w:t>
            </w:r>
          </w:p>
        </w:tc>
      </w:tr>
      <w:tr>
        <w:tc>
          <w:tcPr>
            <w:tcW w:w="4440" w:type="dxa"/>
          </w:tcPr>
          <w:p>
            <w:pPr/>
            <w:r>
              <w:t xml:space="preserve">Facture avec une désignation mais sans prix</w:t>
            </w:r>
          </w:p>
        </w:tc>
        <w:tc>
          <w:tcPr>
            <w:tcW w:w="4920" w:type="dxa"/>
          </w:tcPr>
          <w:p>
            <w:pPr/>
            <w:r>
              <w:t xml:space="preserve">Impossible de valider : le total est à 0 €. Indique un prix sur au moins une ligne.</w:t>
            </w:r>
          </w:p>
        </w:tc>
      </w:tr>
      <w:tr>
        <w:tc>
          <w:tcPr>
            <w:tcW w:w="4440" w:type="dxa"/>
          </w:tcPr>
          <w:p>
            <w:pPr/>
            <w:r>
              <w:t xml:space="preserve">Facture sans client</w:t>
            </w:r>
          </w:p>
        </w:tc>
        <w:tc>
          <w:tcPr>
            <w:tcW w:w="4920" w:type="dxa"/>
          </w:tcPr>
          <w:p>
            <w:pPr/>
            <w:r>
              <w:t xml:space="preserve">Le formulaire ne part pas, le client est obligatoire.</w:t>
            </w:r>
          </w:p>
        </w:tc>
      </w:tr>
      <w:tr>
        <w:tc>
          <w:tcPr>
            <w:tcW w:w="4440" w:type="dxa"/>
          </w:tcPr>
          <w:p>
            <w:pPr/>
            <w:r>
              <w:t xml:space="preserve">Commande ou bon de livraison vide</w:t>
            </w:r>
          </w:p>
        </w:tc>
        <w:tc>
          <w:tcPr>
            <w:tcW w:w="4920" w:type="dxa"/>
          </w:tcPr>
          <w:p>
            <w:pPr/>
            <w:r>
              <w:t xml:space="preserve">Impossible de valider : la pièce est vide (aucune ligne).</w:t>
            </w:r>
          </w:p>
        </w:tc>
      </w:tr>
      <w:tr>
        <w:tc>
          <w:tcPr>
            <w:tcW w:w="4440" w:type="dxa"/>
          </w:tcPr>
          <w:p>
            <w:pPr/>
            <w:r>
              <w:t xml:space="preserve">Prix unitaire négatif</w:t>
            </w:r>
          </w:p>
        </w:tc>
        <w:tc>
          <w:tcPr>
            <w:tcW w:w="4920" w:type="dxa"/>
          </w:tcPr>
          <w:p>
            <w:pPr/>
            <w:r>
              <w:t xml:space="preserve">Refusé par le champ.</w:t>
            </w:r>
          </w:p>
        </w:tc>
      </w:tr>
      <w:tr>
        <w:tc>
          <w:tcPr>
            <w:tcW w:w="4440" w:type="dxa"/>
          </w:tcPr>
          <w:p>
            <w:pPr/>
            <w:r>
              <w:t xml:space="preserve">Remise de 150 %</w:t>
            </w:r>
          </w:p>
        </w:tc>
        <w:tc>
          <w:tcPr>
            <w:tcW w:w="4920" w:type="dxa"/>
          </w:tcPr>
          <w:p>
            <w:pPr/>
            <w:r>
              <w:t xml:space="preserve">Message en bas de l'écran, remise ramenée à 100 %.</w:t>
            </w:r>
          </w:p>
        </w:tc>
      </w:tr>
      <w:tr>
        <w:tc>
          <w:tcPr>
            <w:tcW w:w="4440" w:type="dxa"/>
          </w:tcPr>
          <w:p>
            <w:pPr/>
            <w:r>
              <w:t xml:space="preserve">Supprimer une facture validée</w:t>
            </w:r>
          </w:p>
        </w:tc>
        <w:tc>
          <w:tcPr>
            <w:tcW w:w="4920" w:type="dxa"/>
          </w:tcPr>
          <w:p>
            <w:pPr/>
            <w:r>
              <w:t xml:space="preserve">Pas de bouton : on corrige par un avoir.</w:t>
            </w:r>
          </w:p>
        </w:tc>
      </w:tr>
      <w:tr>
        <w:tc>
          <w:tcPr>
            <w:tcW w:w="4440" w:type="dxa"/>
          </w:tcPr>
          <w:p>
            <w:pPr/>
            <w:r>
              <w:t xml:space="preserve">Bon de livraison avec une ligne en texte libre inconnue</w:t>
            </w:r>
          </w:p>
        </w:tc>
        <w:tc>
          <w:tcPr>
            <w:tcW w:w="4920" w:type="dxa"/>
          </w:tcPr>
          <w:p>
            <w:pPr/>
            <w:r>
              <w:t xml:space="preserve">Validé, avec l'avertissement « Aucune ligne n'est liée à un article du catalogue : le stock n'a pas bougé ».</w:t>
            </w:r>
          </w:p>
        </w:tc>
      </w:tr>
    </w:tbl>
    <w:p>
      <w:pPr/>
      <w:r>
        <w:t xml:space="preserve">Après le test, supprimer les brouillons vides avec Supprimer le brouillon.</w:t>
      </w:r>
    </w:p>
    <w:p>
      <w:pPr>
        <w:pStyle w:val="Heading2"/>
      </w:pPr>
      <w:r>
        <w:t xml:space="preserve">5. Achats</w:t>
      </w:r>
    </w:p>
    <w:p>
      <w:pPr/>
      <w:r>
        <w:t xml:space="preserve">Une demande de prix ne devient qu'une commande fournisseur, jamais directement une facture.</w:t>
      </w:r>
    </w:p>
    <w:p>
      <w:pPr>
        <w:pStyle w:val="ListParagraph"/>
        <w:numPr>
          <w:ilvl w:val="0"/>
          <w:numId w:val="9"/>
        </w:numPr>
      </w:pPr>
      <w:r>
        <w:t xml:space="preserve">☐ </w:t>
      </w:r>
      <w:r>
        <w:rPr>
          <w:b/>
        </w:rPr>
        <w:t xml:space="preserve">Achats → Demande de prix</w:t>
      </w:r>
      <w:r>
        <w:t xml:space="preserve"> à VeloPro Distribution, 5 casques (article CASQ-01). Marquer comme envoyée au fournisseur → Offre retenue. Seul le bouton Transformer en commande fournisseur est proposé.</w:t>
      </w:r>
    </w:p>
    <w:p>
      <w:pPr>
        <w:pStyle w:val="ListParagraph"/>
        <w:numPr>
          <w:ilvl w:val="0"/>
          <w:numId w:val="9"/>
        </w:numPr>
      </w:pPr>
      <w:r>
        <w:t xml:space="preserve">☐ Commande fournisseur → Transformer en bon de réception → Enregistrer et valider. Contrôle : stock des casques + 5.</w:t>
      </w:r>
    </w:p>
    <w:p>
      <w:pPr>
        <w:pStyle w:val="ListParagraph"/>
        <w:numPr>
          <w:ilvl w:val="0"/>
          <w:numId w:val="9"/>
        </w:numPr>
      </w:pPr>
      <w:r>
        <w:t xml:space="preserve">☐ Sur le bon de réception : Créer un retour fournisseur, 1 casque, motif dans les notes, valider. Stock − 1.</w:t>
      </w:r>
    </w:p>
    <w:p>
      <w:pPr>
        <w:pStyle w:val="ListParagraph"/>
        <w:numPr>
          <w:ilvl w:val="0"/>
          <w:numId w:val="9"/>
        </w:numPr>
      </w:pPr>
      <w:r>
        <w:t xml:space="preserve">☐ Retour au bon de réception : Transformer en facture fournisseur → valider. Le stock ne bouge pas une deuxième fois.</w:t>
      </w:r>
    </w:p>
    <w:p>
      <w:pPr>
        <w:pStyle w:val="ListParagraph"/>
        <w:numPr>
          <w:ilvl w:val="0"/>
          <w:numId w:val="9"/>
        </w:numPr>
      </w:pPr>
      <w:r>
        <w:t xml:space="preserve">☐ Sur le retour fournisseur : Créer un avoir → valider. Il vient en déduction de la facture fournisseur.</w:t>
      </w:r>
    </w:p>
    <w:p>
      <w:pPr>
        <w:pStyle w:val="ListParagraph"/>
        <w:numPr>
          <w:ilvl w:val="0"/>
          <w:numId w:val="9"/>
        </w:numPr>
      </w:pPr>
      <w:r>
        <w:t xml:space="preserve">☐ Régler le reste de la facture fournisseur : statut « Payée » et lettrage sur le 401.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6139"/>
        <w:gridCol w:w="1534"/>
        <w:gridCol w:w="1685"/>
      </w:tblGrid>
      <w:tr>
        <w:trPr>
          <w:tblHeader/>
        </w:trPr>
        <w:tc>
          <w:tcPr>
            <w:tcW w:w="6139" w:type="dxa"/>
            <w:shd w:val="clear" w:color="auto" w:fill="F2F2F2"/>
          </w:tcPr>
          <w:p>
            <w:pPr/>
            <w:r>
              <w:t xml:space="preserve">Compte (facture fournisseur)</w:t>
            </w:r>
          </w:p>
        </w:tc>
        <w:tc>
          <w:tcPr>
            <w:tcW w:w="1534" w:type="dxa"/>
            <w:shd w:val="clear" w:color="auto" w:fill="F2F2F2"/>
          </w:tcPr>
          <w:p>
            <w:pPr/>
            <w:r>
              <w:t xml:space="preserve">Débit</w:t>
            </w:r>
          </w:p>
        </w:tc>
        <w:tc>
          <w:tcPr>
            <w:tcW w:w="1685" w:type="dxa"/>
            <w:shd w:val="clear" w:color="auto" w:fill="F2F2F2"/>
          </w:tcPr>
          <w:p>
            <w:pPr/>
            <w:r>
              <w:t xml:space="preserve">Crédit</w:t>
            </w:r>
          </w:p>
        </w:tc>
      </w:tr>
      <w:tr>
        <w:tc>
          <w:tcPr>
            <w:tcW w:w="6139" w:type="dxa"/>
          </w:tcPr>
          <w:p>
            <w:pPr/>
            <w:r>
              <w:t xml:space="preserve">607 Achats de marchandises</w:t>
            </w:r>
          </w:p>
        </w:tc>
        <w:tc>
          <w:tcPr>
            <w:tcW w:w="1534" w:type="dxa"/>
          </w:tcPr>
          <w:p>
            <w:pPr/>
            <w:r>
              <w:t xml:space="preserve">HT</w:t>
            </w:r>
          </w:p>
        </w:tc>
        <w:tc>
          <w:tcPr>
            <w:tcW w:w="1685" w:type="dxa"/>
          </w:tcPr>
          <w:p>
            <w:pPr/>
          </w:p>
        </w:tc>
      </w:tr>
      <w:tr>
        <w:tc>
          <w:tcPr>
            <w:tcW w:w="6139" w:type="dxa"/>
          </w:tcPr>
          <w:p>
            <w:pPr/>
            <w:r>
              <w:t xml:space="preserve">44566 TVA déductible</w:t>
            </w:r>
          </w:p>
        </w:tc>
        <w:tc>
          <w:tcPr>
            <w:tcW w:w="1534" w:type="dxa"/>
          </w:tcPr>
          <w:p>
            <w:pPr/>
            <w:r>
              <w:t xml:space="preserve">TVA</w:t>
            </w:r>
          </w:p>
        </w:tc>
        <w:tc>
          <w:tcPr>
            <w:tcW w:w="1685" w:type="dxa"/>
          </w:tcPr>
          <w:p>
            <w:pPr/>
          </w:p>
        </w:tc>
      </w:tr>
      <w:tr>
        <w:tc>
          <w:tcPr>
            <w:tcW w:w="6139" w:type="dxa"/>
          </w:tcPr>
          <w:p>
            <w:pPr/>
            <w:r>
              <w:t xml:space="preserve">401 Fournisseurs</w:t>
            </w:r>
          </w:p>
        </w:tc>
        <w:tc>
          <w:tcPr>
            <w:tcW w:w="1534" w:type="dxa"/>
          </w:tcPr>
          <w:p>
            <w:pPr/>
          </w:p>
        </w:tc>
        <w:tc>
          <w:tcPr>
            <w:tcW w:w="1685" w:type="dxa"/>
          </w:tcPr>
          <w:p>
            <w:pPr/>
            <w:r>
              <w:t xml:space="preserve">TTC</w:t>
            </w:r>
          </w:p>
        </w:tc>
      </w:tr>
    </w:tbl>
    <w:p>
      <w:pPr>
        <w:pStyle w:val="Heading2"/>
      </w:pPr>
      <w:r>
        <w:t xml:space="preserve">6. Articles et stock</w:t>
      </w:r>
    </w:p>
    <w:p>
      <w:pPr>
        <w:pStyle w:val="ListParagraph"/>
        <w:numPr>
          <w:ilvl w:val="0"/>
          <w:numId w:val="10"/>
        </w:numPr>
      </w:pPr>
      <w:r>
        <w:t xml:space="preserve">☐ Créer un article : prix d'achat 10, prix de vente 20. La marge et le coefficient s'affichent en direct.</w:t>
      </w:r>
    </w:p>
    <w:p>
      <w:pPr>
        <w:pStyle w:val="ListParagraph"/>
        <w:numPr>
          <w:ilvl w:val="0"/>
          <w:numId w:val="10"/>
        </w:numPr>
      </w:pPr>
      <w:r>
        <w:t xml:space="preserve">☐ </w:t>
      </w:r>
      <w:r>
        <w:rPr>
          <w:b/>
        </w:rPr>
        <w:t xml:space="preserve">Inventaire</w:t>
      </w:r>
      <w:r>
        <w:t xml:space="preserve"> : corriger un stock. L'écart apparaît dans l'onglet Mouvements.</w:t>
      </w:r>
    </w:p>
    <w:p>
      <w:pPr>
        <w:pStyle w:val="ListParagraph"/>
        <w:numPr>
          <w:ilvl w:val="0"/>
          <w:numId w:val="10"/>
        </w:numPr>
      </w:pPr>
      <w:r>
        <w:t xml:space="preserve">☐ Mettre un stock sous son minimum : l'article apparaît dans les alertes du tableau de bord.</w:t>
      </w:r>
    </w:p>
    <w:p>
      <w:pPr>
        <w:pStyle w:val="ListParagraph"/>
        <w:numPr>
          <w:ilvl w:val="0"/>
          <w:numId w:val="10"/>
        </w:numPr>
      </w:pPr>
      <w:r>
        <w:t xml:space="preserve">☐ Onglet </w:t>
      </w:r>
      <w:r>
        <w:rPr>
          <w:b/>
        </w:rPr>
        <w:t xml:space="preserve">Mouvements</w:t>
      </w:r>
      <w:r>
        <w:t xml:space="preserve"> : on retrouve les sorties des bons de livraison, les entrées des bons de réception, les retours et les ventes en caisse.</w:t>
      </w:r>
    </w:p>
    <w:p>
      <w:pPr>
        <w:pStyle w:val="Heading2"/>
      </w:pPr>
      <w:r>
        <w:t xml:space="preserve">7. Caisse et clôture Z</w:t>
      </w:r>
    </w:p>
    <w:p>
      <w:pPr/>
      <w:r>
        <w:t xml:space="preserve">Espèces attendues = fond de caisse (150 € par défaut) + ventes payées en espèces. Les ventes par carte ou chèque ne sont pas dans le tiroir.</w:t>
      </w:r>
    </w:p>
    <w:p>
      <w:pPr>
        <w:pStyle w:val="ListParagraph"/>
        <w:numPr>
          <w:ilvl w:val="0"/>
          <w:numId w:val="11"/>
        </w:numPr>
      </w:pPr>
      <w:r>
        <w:t xml:space="preserve">☐ Ajouter 3 articles au ticket, tester les boutons + et −.</w:t>
      </w:r>
    </w:p>
    <w:p>
      <w:pPr>
        <w:pStyle w:val="ListParagraph"/>
        <w:numPr>
          <w:ilvl w:val="0"/>
          <w:numId w:val="11"/>
        </w:numPr>
      </w:pPr>
      <w:r>
        <w:t xml:space="preserve">☐ Encaisser en </w:t>
      </w:r>
      <w:r>
        <w:rPr>
          <w:b/>
        </w:rPr>
        <w:t xml:space="preserve">espèces</w:t>
      </w:r>
      <w:r>
        <w:t xml:space="preserve"> en donnant plus que le total : la monnaie à rendre est calculée.</w:t>
      </w:r>
    </w:p>
    <w:p>
      <w:pPr>
        <w:pStyle w:val="ListParagraph"/>
        <w:numPr>
          <w:ilvl w:val="0"/>
          <w:numId w:val="11"/>
        </w:numPr>
      </w:pPr>
      <w:r>
        <w:t xml:space="preserve">☐ Faire un ticket payé par </w:t>
      </w:r>
      <w:r>
        <w:rPr>
          <w:b/>
        </w:rPr>
        <w:t xml:space="preserve">carte</w:t>
      </w:r>
      <w:r>
        <w:t xml:space="preserve">. Le ticket s'imprime correctement, sans pub.</w:t>
      </w:r>
    </w:p>
    <w:p>
      <w:pPr>
        <w:pStyle w:val="ListParagraph"/>
        <w:numPr>
          <w:ilvl w:val="0"/>
          <w:numId w:val="11"/>
        </w:numPr>
      </w:pPr>
      <w:r>
        <w:t xml:space="preserve">☐ Vendre plus que le stock disponible : avertissement « Stock insuffisant ».</w:t>
      </w:r>
    </w:p>
    <w:p>
      <w:pPr>
        <w:pStyle w:val="ListParagraph"/>
        <w:numPr>
          <w:ilvl w:val="0"/>
          <w:numId w:val="11"/>
        </w:numPr>
      </w:pPr>
      <w:r>
        <w:t xml:space="preserve">☐ </w:t>
      </w:r>
      <w:r>
        <w:rPr>
          <w:b/>
        </w:rPr>
        <w:t xml:space="preserve">Tickets &amp; clôture → Clôturer (Z)</w:t>
      </w:r>
      <w:r>
        <w:t xml:space="preserve"> en saisissant un montant compté faux.</w:t>
      </w:r>
    </w:p>
    <w:p>
      <w:pPr>
        <w:pStyle w:val="ListParagraph"/>
        <w:numPr>
          <w:ilvl w:val="0"/>
          <w:numId w:val="11"/>
        </w:numPr>
      </w:pPr>
      <w:r>
        <w:t xml:space="preserve">☐ Contrôle : message « Clôture Z n°1 effectuée… » avec « +X € (excédent) » ou « −X € (manquant) ».</w:t>
      </w:r>
    </w:p>
    <w:p>
      <w:pPr>
        <w:pStyle w:val="ListParagraph"/>
        <w:numPr>
          <w:ilvl w:val="0"/>
          <w:numId w:val="11"/>
        </w:numPr>
      </w:pPr>
      <w:r>
        <w:t xml:space="preserve">☐ Onglet </w:t>
      </w:r>
      <w:r>
        <w:rPr>
          <w:b/>
        </w:rPr>
        <w:t xml:space="preserve">Clôtures Z</w:t>
      </w:r>
      <w:r>
        <w:t xml:space="preserve"> : colonnes Espèces attendues, Espèces comptées et Écart signé. Le compteur « Depuis la dernière clôture » revient à 0 ticket.</w:t>
      </w:r>
    </w:p>
    <w:p>
      <w:pPr>
        <w:pStyle w:val="ListParagraph"/>
        <w:numPr>
          <w:ilvl w:val="0"/>
          <w:numId w:val="11"/>
        </w:numPr>
      </w:pPr>
      <w:r>
        <w:t xml:space="preserve">☐ Journal de caisse : les ventes du jour sont passées en comptabilité.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343"/>
        <w:gridCol w:w="2613"/>
        <w:gridCol w:w="2402"/>
      </w:tblGrid>
      <w:tr>
        <w:trPr>
          <w:tblHeader/>
        </w:trPr>
        <w:tc>
          <w:tcPr>
            <w:tcW w:w="4343" w:type="dxa"/>
            <w:shd w:val="clear" w:color="auto" w:fill="F2F2F2"/>
          </w:tcPr>
          <w:p>
            <w:pPr/>
            <w:r>
              <w:t xml:space="preserve">Écart</w:t>
            </w:r>
          </w:p>
        </w:tc>
        <w:tc>
          <w:tcPr>
            <w:tcW w:w="2613" w:type="dxa"/>
            <w:shd w:val="clear" w:color="auto" w:fill="F2F2F2"/>
          </w:tcPr>
          <w:p>
            <w:pPr/>
            <w:r>
              <w:t xml:space="preserve">Débit</w:t>
            </w:r>
          </w:p>
        </w:tc>
        <w:tc>
          <w:tcPr>
            <w:tcW w:w="2402" w:type="dxa"/>
            <w:shd w:val="clear" w:color="auto" w:fill="F2F2F2"/>
          </w:tcPr>
          <w:p>
            <w:pPr/>
            <w:r>
              <w:t xml:space="preserve">Crédit</w:t>
            </w:r>
          </w:p>
        </w:tc>
      </w:tr>
      <w:tr>
        <w:tc>
          <w:tcPr>
            <w:tcW w:w="4343" w:type="dxa"/>
          </w:tcPr>
          <w:p>
            <w:pPr/>
            <w:r>
              <w:t xml:space="preserve">Excédent (plus d'espèces que prévu)</w:t>
            </w:r>
          </w:p>
        </w:tc>
        <w:tc>
          <w:tcPr>
            <w:tcW w:w="2613" w:type="dxa"/>
          </w:tcPr>
          <w:p>
            <w:pPr/>
            <w:r>
              <w:t xml:space="preserve">531 Caisse</w:t>
            </w:r>
          </w:p>
        </w:tc>
        <w:tc>
          <w:tcPr>
            <w:tcW w:w="2402" w:type="dxa"/>
          </w:tcPr>
          <w:p>
            <w:pPr/>
            <w:r>
              <w:t xml:space="preserve">758 Produits divers</w:t>
            </w:r>
          </w:p>
        </w:tc>
      </w:tr>
      <w:tr>
        <w:tc>
          <w:tcPr>
            <w:tcW w:w="4343" w:type="dxa"/>
          </w:tcPr>
          <w:p>
            <w:pPr/>
            <w:r>
              <w:t xml:space="preserve">Manquant (il manque des espèces)</w:t>
            </w:r>
          </w:p>
        </w:tc>
        <w:tc>
          <w:tcPr>
            <w:tcW w:w="2613" w:type="dxa"/>
          </w:tcPr>
          <w:p>
            <w:pPr/>
            <w:r>
              <w:t xml:space="preserve">658 Charges diverses</w:t>
            </w:r>
          </w:p>
        </w:tc>
        <w:tc>
          <w:tcPr>
            <w:tcW w:w="2402" w:type="dxa"/>
          </w:tcPr>
          <w:p>
            <w:pPr/>
            <w:r>
              <w:t xml:space="preserve">531 Caisse</w:t>
            </w:r>
          </w:p>
        </w:tc>
      </w:tr>
    </w:tbl>
    <w:p>
      <w:pPr>
        <w:pStyle w:val="Heading2"/>
      </w:pPr>
      <w:r>
        <w:t xml:space="preserve">8. Comptabilité</w:t>
      </w:r>
    </w:p>
    <w:p>
      <w:pPr/>
      <w:r>
        <w:rPr>
          <w:b/>
        </w:rPr>
        <w:t xml:space="preserve">Journaux et saisie</w:t>
      </w:r>
    </w:p>
    <w:p>
      <w:pPr>
        <w:pStyle w:val="ListParagraph"/>
        <w:numPr>
          <w:ilvl w:val="0"/>
          <w:numId w:val="12"/>
        </w:numPr>
      </w:pPr>
      <w:r>
        <w:t xml:space="preserve">☐ </w:t>
      </w:r>
      <w:r>
        <w:rPr>
          <w:b/>
        </w:rPr>
        <w:t xml:space="preserve">Journaux</w:t>
      </w:r>
      <w:r>
        <w:t xml:space="preserve"> : on retrouve les écritures dans VT (ventes), HA (achats), BQ (banque), CA (caisse) et OD (opérations diverses). Chaque journal s'équilibre.</w:t>
      </w:r>
    </w:p>
    <w:p>
      <w:pPr>
        <w:pStyle w:val="ListParagraph"/>
        <w:numPr>
          <w:ilvl w:val="0"/>
          <w:numId w:val="12"/>
        </w:numPr>
      </w:pPr>
      <w:r>
        <w:t xml:space="preserve">☐ </w:t>
      </w:r>
      <w:r>
        <w:rPr>
          <w:b/>
        </w:rPr>
        <w:t xml:space="preserve">Saisie</w:t>
      </w:r>
      <w:r>
        <w:t xml:space="preserve"> : une écriture déséquilibrée est refusée (« débit X ≠ crédit Y »).</w:t>
      </w:r>
    </w:p>
    <w:p>
      <w:pPr>
        <w:pStyle w:val="ListParagraph"/>
        <w:numPr>
          <w:ilvl w:val="0"/>
          <w:numId w:val="12"/>
        </w:numPr>
      </w:pPr>
      <w:r>
        <w:t xml:space="preserve">☐ </w:t>
      </w:r>
      <w:r>
        <w:rPr>
          <w:b/>
        </w:rPr>
        <w:t xml:space="preserve">Saisie</w:t>
      </w:r>
      <w:r>
        <w:t xml:space="preserve"> au journal BQ, le paiement de la TVA de septembre : 44551 au débit, 512 au crédit, 127,20 €.</w:t>
      </w:r>
    </w:p>
    <w:p>
      <w:pPr/>
      <w:r>
        <w:rPr>
          <w:b/>
        </w:rPr>
        <w:t xml:space="preserve">Lettrage</w:t>
      </w:r>
      <w:r>
        <w:t xml:space="preserve"> — rapprocher une ligne au débit et une ligne au crédit du même montant. Les factures encaissées depuis la pièce sont déjà lettrées automatiquement.</w:t>
      </w:r>
    </w:p>
    <w:p>
      <w:pPr>
        <w:pStyle w:val="ListParagraph"/>
        <w:numPr>
          <w:ilvl w:val="0"/>
          <w:numId w:val="13"/>
        </w:numPr>
      </w:pPr>
      <w:r>
        <w:t xml:space="preserve">☐ Compte 411 : cliquer </w:t>
      </w:r>
      <w:r>
        <w:rPr>
          <w:b/>
        </w:rPr>
        <w:t xml:space="preserve">Délettrer</w:t>
      </w:r>
      <w:r>
        <w:t xml:space="preserve"> sur un code (par exemple Karim Benali). Ses deux lignes remontent dans Lignes non lettrées.</w:t>
      </w:r>
    </w:p>
    <w:p>
      <w:pPr>
        <w:pStyle w:val="ListParagraph"/>
        <w:numPr>
          <w:ilvl w:val="0"/>
          <w:numId w:val="13"/>
        </w:numPr>
      </w:pPr>
      <w:r>
        <w:t xml:space="preserve">☐ Cocher les deux lignes : le bouton Lettrer la sélection s'active. Lettrer : elles repartent avec une nouvelle lettre.</w:t>
      </w:r>
    </w:p>
    <w:p>
      <w:pPr>
        <w:pStyle w:val="ListParagraph"/>
        <w:numPr>
          <w:ilvl w:val="0"/>
          <w:numId w:val="13"/>
        </w:numPr>
      </w:pPr>
      <w:r>
        <w:t xml:space="preserve">☐ Cocher deux lignes de montants différents : lettrage impossible.</w:t>
      </w:r>
    </w:p>
    <w:p>
      <w:pPr>
        <w:pStyle w:val="ListParagraph"/>
        <w:numPr>
          <w:ilvl w:val="0"/>
          <w:numId w:val="13"/>
        </w:numPr>
      </w:pPr>
      <w:r>
        <w:t xml:space="preserve">☐ Ce qui reste non lettré = ce qui n'est pas encore payé (factures ouvertes, avoirs non remboursés).</w:t>
      </w:r>
    </w:p>
    <w:p>
      <w:pPr/>
      <w:r>
        <w:rPr>
          <w:b/>
        </w:rPr>
        <w:t xml:space="preserve">TVA</w:t>
      </w:r>
    </w:p>
    <w:p>
      <w:pPr>
        <w:pStyle w:val="ListParagraph"/>
        <w:numPr>
          <w:ilvl w:val="0"/>
          <w:numId w:val="14"/>
        </w:numPr>
      </w:pPr>
      <w:r>
        <w:t xml:space="preserve">☐ Choisir un mois dans Période (le menu a une taille normale). TVA collectée = CA HT × 20 % ; à payer = collectée − déductible.</w:t>
      </w:r>
    </w:p>
    <w:p>
      <w:pPr>
        <w:pStyle w:val="ListParagraph"/>
        <w:numPr>
          <w:ilvl w:val="0"/>
          <w:numId w:val="14"/>
        </w:numPr>
      </w:pPr>
      <w:r>
        <w:t xml:space="preserve">☐ </w:t>
      </w:r>
      <w:r>
        <w:rPr>
          <w:b/>
        </w:rPr>
        <w:t xml:space="preserve">Générer l'écriture de liquidation</w:t>
      </w:r>
      <w:r>
        <w:t xml:space="preserve">, puis recommencer : refusé, mois déjà liquidé.</w:t>
      </w:r>
    </w:p>
    <w:p>
      <w:pPr>
        <w:pStyle w:val="ListParagraph"/>
        <w:numPr>
          <w:ilvl w:val="0"/>
          <w:numId w:val="14"/>
        </w:numPr>
      </w:pPr>
      <w:r>
        <w:t xml:space="preserve">☐ Un mois où la déductible dépasse la collectée donne un </w:t>
      </w:r>
      <w:r>
        <w:rPr>
          <w:b/>
        </w:rPr>
        <w:t xml:space="preserve">crédit de TVA</w:t>
      </w:r>
      <w:r>
        <w:t xml:space="preserve"> (44567), reporté : le mois suivant l'affiche en « Crédit de TVA du mois précédent ».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750"/>
        <w:gridCol w:w="3699"/>
        <w:gridCol w:w="3909"/>
      </w:tblGrid>
      <w:tr>
        <w:trPr>
          <w:tblHeader/>
        </w:trPr>
        <w:tc>
          <w:tcPr>
            <w:tcW w:w="1750" w:type="dxa"/>
            <w:shd w:val="clear" w:color="auto" w:fill="F2F2F2"/>
          </w:tcPr>
          <w:p>
            <w:pPr/>
            <w:r>
              <w:t xml:space="preserve">Liquidation</w:t>
            </w:r>
          </w:p>
        </w:tc>
        <w:tc>
          <w:tcPr>
            <w:tcW w:w="3699" w:type="dxa"/>
            <w:shd w:val="clear" w:color="auto" w:fill="F2F2F2"/>
          </w:tcPr>
          <w:p>
            <w:pPr/>
            <w:r>
              <w:t xml:space="preserve">Débit</w:t>
            </w:r>
          </w:p>
        </w:tc>
        <w:tc>
          <w:tcPr>
            <w:tcW w:w="3909" w:type="dxa"/>
            <w:shd w:val="clear" w:color="auto" w:fill="F2F2F2"/>
          </w:tcPr>
          <w:p>
            <w:pPr/>
            <w:r>
              <w:t xml:space="preserve">Crédit</w:t>
            </w:r>
          </w:p>
        </w:tc>
      </w:tr>
      <w:tr>
        <w:tc>
          <w:tcPr>
            <w:tcW w:w="1750" w:type="dxa"/>
          </w:tcPr>
          <w:p>
            <w:pPr/>
            <w:r>
              <w:t xml:space="preserve">TVA à payer</w:t>
            </w:r>
          </w:p>
        </w:tc>
        <w:tc>
          <w:tcPr>
            <w:tcW w:w="3699" w:type="dxa"/>
          </w:tcPr>
          <w:p>
            <w:pPr/>
            <w:r>
              <w:t xml:space="preserve">44571 collectée</w:t>
            </w:r>
          </w:p>
        </w:tc>
        <w:tc>
          <w:tcPr>
            <w:tcW w:w="3909" w:type="dxa"/>
          </w:tcPr>
          <w:p>
            <w:pPr/>
            <w:r>
              <w:t xml:space="preserve">44566 déductible + 44551 TVA à décaisser</w:t>
            </w:r>
          </w:p>
        </w:tc>
      </w:tr>
      <w:tr>
        <w:tc>
          <w:tcPr>
            <w:tcW w:w="1750" w:type="dxa"/>
          </w:tcPr>
          <w:p>
            <w:pPr/>
            <w:r>
              <w:t xml:space="preserve">Crédit de TVA</w:t>
            </w:r>
          </w:p>
        </w:tc>
        <w:tc>
          <w:tcPr>
            <w:tcW w:w="3699" w:type="dxa"/>
          </w:tcPr>
          <w:p>
            <w:pPr/>
            <w:r>
              <w:t xml:space="preserve">44571 collectée + 44567 crédit à reporter</w:t>
            </w:r>
          </w:p>
        </w:tc>
        <w:tc>
          <w:tcPr>
            <w:tcW w:w="3909" w:type="dxa"/>
          </w:tcPr>
          <w:p>
            <w:pPr/>
            <w:r>
              <w:t xml:space="preserve">44566 déductible</w:t>
            </w:r>
          </w:p>
        </w:tc>
      </w:tr>
    </w:tbl>
    <w:p>
      <w:pPr/>
      <w:r>
        <w:rPr>
          <w:b/>
        </w:rPr>
        <w:t xml:space="preserve">Balance, bilan, FEC</w:t>
      </w:r>
    </w:p>
    <w:p>
      <w:pPr>
        <w:pStyle w:val="ListParagraph"/>
        <w:numPr>
          <w:ilvl w:val="0"/>
          <w:numId w:val="15"/>
        </w:numPr>
      </w:pPr>
      <w:r>
        <w:t xml:space="preserve">☐ </w:t>
      </w:r>
      <w:r>
        <w:rPr>
          <w:b/>
        </w:rPr>
        <w:t xml:space="preserve">Balance</w:t>
      </w:r>
      <w:r>
        <w:t xml:space="preserve"> : total débit = total crédit, et le message « La balance est équilibrée ».</w:t>
      </w:r>
    </w:p>
    <w:p>
      <w:pPr>
        <w:pStyle w:val="ListParagraph"/>
        <w:numPr>
          <w:ilvl w:val="0"/>
          <w:numId w:val="15"/>
        </w:numPr>
      </w:pPr>
      <w:r>
        <w:t xml:space="preserve">☐ </w:t>
      </w:r>
      <w:r>
        <w:rPr>
          <w:b/>
        </w:rPr>
        <w:t xml:space="preserve">Bilan &amp; résultat</w:t>
      </w:r>
      <w:r>
        <w:t xml:space="preserve"> : total actif = total passif.</w:t>
      </w:r>
    </w:p>
    <w:p>
      <w:pPr>
        <w:pStyle w:val="ListParagraph"/>
        <w:numPr>
          <w:ilvl w:val="0"/>
          <w:numId w:val="15"/>
        </w:numPr>
      </w:pPr>
      <w:r>
        <w:t xml:space="preserve">☐ </w:t>
      </w:r>
      <w:r>
        <w:rPr>
          <w:b/>
        </w:rPr>
        <w:t xml:space="preserve">Clôture &amp; FEC</w:t>
      </w:r>
      <w:r>
        <w:t xml:space="preserve"> : télécharger le FEC. Ne pas clôturer avant l'étape 12.</w:t>
      </w:r>
    </w:p>
    <w:p>
      <w:pPr>
        <w:pStyle w:val="Heading2"/>
      </w:pPr>
      <w:r>
        <w:t xml:space="preserve">9. Immobilisations</w:t>
      </w:r>
    </w:p>
    <w:p>
      <w:pPr/>
      <w:r>
        <w:t xml:space="preserve">Amortissement linéaire, prorata sur une base de 30 jours par mois et 360 jours par an.</w:t>
      </w:r>
    </w:p>
    <w:p>
      <w:pPr>
        <w:pStyle w:val="ListParagraph"/>
        <w:numPr>
          <w:ilvl w:val="0"/>
          <w:numId w:val="16"/>
        </w:numPr>
      </w:pPr>
      <w:r>
        <w:t xml:space="preserve">☐ </w:t>
      </w:r>
      <w:r>
        <w:rPr>
          <w:b/>
        </w:rPr>
        <w:t xml:space="preserve">Nouvelle immobilisation</w:t>
      </w:r>
      <w:r>
        <w:t xml:space="preserve"> : Ordinateur, 1 200 € HT, 3 ans, acquis le 29/10/2026. Une écriture d'acquisition est passée au journal des achats.</w:t>
      </w:r>
    </w:p>
    <w:p>
      <w:pPr>
        <w:pStyle w:val="ListParagraph"/>
        <w:numPr>
          <w:ilvl w:val="0"/>
          <w:numId w:val="16"/>
        </w:numPr>
      </w:pPr>
      <w:r>
        <w:t xml:space="preserve">☐ Contrôle de la dotation 2026 : 1 200 ÷ 3 = 400 par an, × 62 jours / 360 = 68,89 €.</w:t>
      </w:r>
    </w:p>
    <w:p>
      <w:pPr>
        <w:pStyle w:val="ListParagraph"/>
        <w:numPr>
          <w:ilvl w:val="0"/>
          <w:numId w:val="16"/>
        </w:numPr>
      </w:pPr>
      <w:r>
        <w:t xml:space="preserve">☐ </w:t>
      </w:r>
      <w:r>
        <w:rPr>
          <w:b/>
        </w:rPr>
        <w:t xml:space="preserve">Plan</w:t>
      </w:r>
      <w:r>
        <w:t xml:space="preserve"> de l'ordinateur : 68,89 € en 2026, 400 € en 2027 et 2028, 331,11 € en 2029.</w:t>
      </w:r>
    </w:p>
    <w:p>
      <w:pPr>
        <w:pStyle w:val="ListParagraph"/>
        <w:numPr>
          <w:ilvl w:val="0"/>
          <w:numId w:val="16"/>
        </w:numPr>
      </w:pPr>
      <w:r>
        <w:t xml:space="preserve">☐ </w:t>
      </w:r>
      <w:r>
        <w:rPr>
          <w:b/>
        </w:rPr>
        <w:t xml:space="preserve">Passer les dotations 2026</w:t>
      </w:r>
      <w:r>
        <w:t xml:space="preserve"> : une écriture OD datée du 31/12/2026, 6811 au débit et un compte 281x au crédit par bien.</w:t>
      </w:r>
    </w:p>
    <w:p>
      <w:pPr>
        <w:pStyle w:val="ListParagraph"/>
        <w:numPr>
          <w:ilvl w:val="0"/>
          <w:numId w:val="16"/>
        </w:numPr>
      </w:pPr>
      <w:r>
        <w:t xml:space="preserve">☐ Recommencer : refusé (« Toutes les dotations de l'exercice 2026 sont déjà passées »).</w:t>
      </w:r>
    </w:p>
    <w:p>
      <w:pPr>
        <w:pStyle w:val="ListParagraph"/>
        <w:numPr>
          <w:ilvl w:val="0"/>
          <w:numId w:val="16"/>
        </w:numPr>
      </w:pPr>
      <w:r>
        <w:t xml:space="preserve">☐ Valeur nette comptable = valeur HT − amortissements cumulés − dotation de l'année.</w:t>
      </w:r>
    </w:p>
    <w:p>
      <w:pPr>
        <w:pStyle w:val="Heading2"/>
      </w:pPr>
      <w:r>
        <w:t xml:space="preserve">10. Paie</w:t>
      </w:r>
    </w:p>
    <w:p>
      <w:pPr/>
      <w:r>
        <w:rPr>
          <w:b/>
        </w:rPr>
        <w:t xml:space="preserve">Fiche salarié</w:t>
      </w:r>
    </w:p>
    <w:p>
      <w:pPr>
        <w:pStyle w:val="ListParagraph"/>
        <w:numPr>
          <w:ilvl w:val="0"/>
          <w:numId w:val="17"/>
        </w:numPr>
      </w:pPr>
      <w:r>
        <w:t xml:space="preserve">☐ Embaucher une vendeuse en CDD sans date de fin : refusé.</w:t>
      </w:r>
    </w:p>
    <w:p>
      <w:pPr>
        <w:pStyle w:val="ListParagraph"/>
        <w:numPr>
          <w:ilvl w:val="0"/>
          <w:numId w:val="17"/>
        </w:numPr>
      </w:pPr>
      <w:r>
        <w:t xml:space="preserve">☐ Salaire de 400 € pour 151,67 h : fiche enregistrée avec l'avertissement « salaire horaire 2,64 € inférieur au SMIC (12,31 €) ». Le minimum à temps plein est 151,67 × 12,31 = 1 867,06 € brut.</w:t>
      </w:r>
    </w:p>
    <w:p>
      <w:pPr>
        <w:pStyle w:val="ListParagraph"/>
        <w:numPr>
          <w:ilvl w:val="0"/>
          <w:numId w:val="17"/>
        </w:numPr>
      </w:pPr>
      <w:r>
        <w:t xml:space="preserve">☐ Mettre 1 900 € : l'avertissement disparaît. Les flèches des heures mensuelles n'avancent plus de 0,01.</w:t>
      </w:r>
    </w:p>
    <w:p>
      <w:pPr>
        <w:pStyle w:val="ListParagraph"/>
        <w:numPr>
          <w:ilvl w:val="0"/>
          <w:numId w:val="17"/>
        </w:numPr>
      </w:pPr>
      <w:r>
        <w:t xml:space="preserve">☐ Numéro de sécurité sociale incohérent avec la fiche : refusé avec un message précis (clé, sexe ou date).</w:t>
      </w:r>
    </w:p>
    <w:p>
      <w:pPr/>
      <w:r>
        <w:t xml:space="preserve">Le numéro de sécurité sociale doit correspondre à la civilité et à la date de naissance. La clé vaut 97 − (les 13 premiers chiffres modulo 97).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8"/>
        <w:gridCol w:w="5299"/>
        <w:gridCol w:w="1711"/>
      </w:tblGrid>
      <w:tr>
        <w:trPr>
          <w:tblHeader/>
        </w:trPr>
        <w:tc>
          <w:tcPr>
            <w:tcW w:w="2348" w:type="dxa"/>
            <w:shd w:val="clear" w:color="auto" w:fill="F2F2F2"/>
          </w:tcPr>
          <w:p>
            <w:pPr/>
            <w:r>
              <w:t xml:space="preserve">Position</w:t>
            </w:r>
          </w:p>
        </w:tc>
        <w:tc>
          <w:tcPr>
            <w:tcW w:w="5299" w:type="dxa"/>
            <w:shd w:val="clear" w:color="auto" w:fill="F2F2F2"/>
          </w:tcPr>
          <w:p>
            <w:pPr/>
            <w:r>
              <w:t xml:space="preserve">Sens</w:t>
            </w:r>
          </w:p>
        </w:tc>
        <w:tc>
          <w:tcPr>
            <w:tcW w:w="1711" w:type="dxa"/>
            <w:shd w:val="clear" w:color="auto" w:fill="F2F2F2"/>
          </w:tcPr>
          <w:p>
            <w:pPr/>
            <w:r>
              <w:t xml:space="preserve">Exemple</w:t>
            </w:r>
          </w:p>
        </w:tc>
      </w:tr>
      <w:tr>
        <w:tc>
          <w:tcPr>
            <w:tcW w:w="2348" w:type="dxa"/>
          </w:tcPr>
          <w:p>
            <w:pPr/>
            <w:r>
              <w:t xml:space="preserve">1er chiffre</w:t>
            </w:r>
          </w:p>
        </w:tc>
        <w:tc>
          <w:tcPr>
            <w:tcW w:w="5299" w:type="dxa"/>
          </w:tcPr>
          <w:p>
            <w:pPr/>
            <w:r>
              <w:t xml:space="preserve">1 homme (M.), 2 femme (Mme)</w:t>
            </w:r>
          </w:p>
        </w:tc>
        <w:tc>
          <w:tcPr>
            <w:tcW w:w="1711" w:type="dxa"/>
          </w:tcPr>
          <w:p>
            <w:pPr/>
            <w:r>
              <w:t xml:space="preserve">2</w:t>
            </w:r>
          </w:p>
        </w:tc>
      </w:tr>
      <w:tr>
        <w:tc>
          <w:tcPr>
            <w:tcW w:w="2348" w:type="dxa"/>
          </w:tcPr>
          <w:p>
            <w:pPr/>
            <w:r>
              <w:t xml:space="preserve">Chiffres 2-3</w:t>
            </w:r>
          </w:p>
        </w:tc>
        <w:tc>
          <w:tcPr>
            <w:tcW w:w="5299" w:type="dxa"/>
          </w:tcPr>
          <w:p>
            <w:pPr/>
            <w:r>
              <w:t xml:space="preserve">Année de naissance</w:t>
            </w:r>
          </w:p>
        </w:tc>
        <w:tc>
          <w:tcPr>
            <w:tcW w:w="1711" w:type="dxa"/>
          </w:tcPr>
          <w:p>
            <w:pPr/>
            <w:r>
              <w:t xml:space="preserve">99</w:t>
            </w:r>
          </w:p>
        </w:tc>
      </w:tr>
      <w:tr>
        <w:tc>
          <w:tcPr>
            <w:tcW w:w="2348" w:type="dxa"/>
          </w:tcPr>
          <w:p>
            <w:pPr/>
            <w:r>
              <w:t xml:space="preserve">Chiffres 4-5</w:t>
            </w:r>
          </w:p>
        </w:tc>
        <w:tc>
          <w:tcPr>
            <w:tcW w:w="5299" w:type="dxa"/>
          </w:tcPr>
          <w:p>
            <w:pPr/>
            <w:r>
              <w:t xml:space="preserve">Mois de naissance</w:t>
            </w:r>
          </w:p>
        </w:tc>
        <w:tc>
          <w:tcPr>
            <w:tcW w:w="1711" w:type="dxa"/>
          </w:tcPr>
          <w:p>
            <w:pPr/>
            <w:r>
              <w:t xml:space="preserve">11</w:t>
            </w:r>
          </w:p>
        </w:tc>
      </w:tr>
      <w:tr>
        <w:tc>
          <w:tcPr>
            <w:tcW w:w="2348" w:type="dxa"/>
          </w:tcPr>
          <w:p>
            <w:pPr/>
            <w:r>
              <w:t xml:space="preserve">Chiffres 6-7</w:t>
            </w:r>
          </w:p>
        </w:tc>
        <w:tc>
          <w:tcPr>
            <w:tcW w:w="5299" w:type="dxa"/>
          </w:tcPr>
          <w:p>
            <w:pPr/>
            <w:r>
              <w:t xml:space="preserve">Département de naissance</w:t>
            </w:r>
          </w:p>
        </w:tc>
        <w:tc>
          <w:tcPr>
            <w:tcW w:w="1711" w:type="dxa"/>
          </w:tcPr>
          <w:p>
            <w:pPr/>
            <w:r>
              <w:t xml:space="preserve">77</w:t>
            </w:r>
          </w:p>
        </w:tc>
      </w:tr>
      <w:tr>
        <w:tc>
          <w:tcPr>
            <w:tcW w:w="2348" w:type="dxa"/>
          </w:tcPr>
          <w:p>
            <w:pPr/>
            <w:r>
              <w:t xml:space="preserve">Chiffres 8-13</w:t>
            </w:r>
          </w:p>
        </w:tc>
        <w:tc>
          <w:tcPr>
            <w:tcW w:w="5299" w:type="dxa"/>
          </w:tcPr>
          <w:p>
            <w:pPr/>
            <w:r>
              <w:t xml:space="preserve">Commune et numéro d'ordre</w:t>
            </w:r>
          </w:p>
        </w:tc>
        <w:tc>
          <w:tcPr>
            <w:tcW w:w="1711" w:type="dxa"/>
          </w:tcPr>
          <w:p>
            <w:pPr/>
            <w:r>
              <w:t xml:space="preserve">288 042</w:t>
            </w:r>
          </w:p>
        </w:tc>
      </w:tr>
      <w:tr>
        <w:tc>
          <w:tcPr>
            <w:tcW w:w="2348" w:type="dxa"/>
          </w:tcPr>
          <w:p>
            <w:pPr/>
            <w:r>
              <w:t xml:space="preserve">2 derniers</w:t>
            </w:r>
          </w:p>
        </w:tc>
        <w:tc>
          <w:tcPr>
            <w:tcW w:w="5299" w:type="dxa"/>
          </w:tcPr>
          <w:p>
            <w:pPr/>
            <w:r>
              <w:t xml:space="preserve">Clé de contrôle</w:t>
            </w:r>
          </w:p>
        </w:tc>
        <w:tc>
          <w:tcPr>
            <w:tcW w:w="1711" w:type="dxa"/>
          </w:tcPr>
          <w:p>
            <w:pPr/>
            <w:r>
              <w:t xml:space="preserve">81</w:t>
            </w:r>
          </w:p>
        </w:tc>
      </w:tr>
    </w:tbl>
    <w:p>
      <w:pPr/>
      <w:r>
        <w:t xml:space="preserve">Numéros valides pour les tests 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30"/>
        <w:gridCol w:w="3142"/>
        <w:gridCol w:w="4386"/>
      </w:tblGrid>
      <w:tr>
        <w:trPr>
          <w:tblHeader/>
        </w:trPr>
        <w:tc>
          <w:tcPr>
            <w:tcW w:w="1830" w:type="dxa"/>
            <w:shd w:val="clear" w:color="auto" w:fill="F2F2F2"/>
          </w:tcPr>
          <w:p>
            <w:pPr/>
            <w:r>
              <w:t xml:space="preserve">Civilité</w:t>
            </w:r>
          </w:p>
        </w:tc>
        <w:tc>
          <w:tcPr>
            <w:tcW w:w="3142" w:type="dxa"/>
            <w:shd w:val="clear" w:color="auto" w:fill="F2F2F2"/>
          </w:tcPr>
          <w:p>
            <w:pPr/>
            <w:r>
              <w:t xml:space="preserve">Né(e)</w:t>
            </w:r>
          </w:p>
        </w:tc>
        <w:tc>
          <w:tcPr>
            <w:tcW w:w="4386" w:type="dxa"/>
            <w:shd w:val="clear" w:color="auto" w:fill="F2F2F2"/>
          </w:tcPr>
          <w:p>
            <w:pPr/>
            <w:r>
              <w:t xml:space="preserve">Numéro</w:t>
            </w:r>
          </w:p>
        </w:tc>
      </w:tr>
      <w:tr>
        <w:tc>
          <w:tcPr>
            <w:tcW w:w="1830" w:type="dxa"/>
          </w:tcPr>
          <w:p>
            <w:pPr/>
            <w:r>
              <w:t xml:space="preserve">Mme</w:t>
            </w:r>
          </w:p>
        </w:tc>
        <w:tc>
          <w:tcPr>
            <w:tcW w:w="3142" w:type="dxa"/>
          </w:tcPr>
          <w:p>
            <w:pPr/>
            <w:r>
              <w:t xml:space="preserve">novembre 1999</w:t>
            </w:r>
          </w:p>
        </w:tc>
        <w:tc>
          <w:tcPr>
            <w:tcW w:w="4386" w:type="dxa"/>
          </w:tcPr>
          <w:p>
            <w:pPr/>
            <w:r>
              <w:t xml:space="preserve">2 99 11 77 288 042 81</w:t>
            </w:r>
          </w:p>
        </w:tc>
      </w:tr>
      <w:tr>
        <w:tc>
          <w:tcPr>
            <w:tcW w:w="1830" w:type="dxa"/>
          </w:tcPr>
          <w:p>
            <w:pPr/>
            <w:r>
              <w:t xml:space="preserve">M.</w:t>
            </w:r>
          </w:p>
        </w:tc>
        <w:tc>
          <w:tcPr>
            <w:tcW w:w="3142" w:type="dxa"/>
          </w:tcPr>
          <w:p>
            <w:pPr/>
            <w:r>
              <w:t xml:space="preserve">mai 2002</w:t>
            </w:r>
          </w:p>
        </w:tc>
        <w:tc>
          <w:tcPr>
            <w:tcW w:w="4386" w:type="dxa"/>
          </w:tcPr>
          <w:p>
            <w:pPr/>
            <w:r>
              <w:t xml:space="preserve">1 02 05 77 288 042 35</w:t>
            </w:r>
          </w:p>
        </w:tc>
      </w:tr>
      <w:tr>
        <w:tc>
          <w:tcPr>
            <w:tcW w:w="1830" w:type="dxa"/>
          </w:tcPr>
          <w:p>
            <w:pPr/>
            <w:r>
              <w:t xml:space="preserve">Mme</w:t>
            </w:r>
          </w:p>
        </w:tc>
        <w:tc>
          <w:tcPr>
            <w:tcW w:w="3142" w:type="dxa"/>
          </w:tcPr>
          <w:p>
            <w:pPr/>
            <w:r>
              <w:t xml:space="preserve">mai 1985</w:t>
            </w:r>
          </w:p>
        </w:tc>
        <w:tc>
          <w:tcPr>
            <w:tcW w:w="4386" w:type="dxa"/>
          </w:tcPr>
          <w:p>
            <w:pPr/>
            <w:r>
              <w:t xml:space="preserve">2 85 05 77 288 042 89</w:t>
            </w:r>
          </w:p>
        </w:tc>
      </w:tr>
    </w:tbl>
    <w:p>
      <w:pPr/>
      <w:r>
        <w:rPr>
          <w:b/>
        </w:rPr>
        <w:t xml:space="preserve">Bulletins</w:t>
      </w:r>
    </w:p>
    <w:p>
      <w:pPr>
        <w:pStyle w:val="ListParagraph"/>
        <w:numPr>
          <w:ilvl w:val="0"/>
          <w:numId w:val="18"/>
        </w:numPr>
      </w:pPr>
      <w:r>
        <w:t xml:space="preserve">☐ Préparer la paie du mois. Sur Marc Durand, ajouter des heures supplémentaires et une prime.</w:t>
      </w:r>
    </w:p>
    <w:p>
      <w:pPr>
        <w:pStyle w:val="ListParagraph"/>
        <w:numPr>
          <w:ilvl w:val="0"/>
          <w:numId w:val="18"/>
        </w:numPr>
      </w:pPr>
      <w:r>
        <w:t xml:space="preserve">☐ Recalculer, puis Valider et comptabiliser : écriture au journal PA (641 et 645 au débit ; 421, 431, 437, 4421 au crédit).</w:t>
      </w:r>
    </w:p>
    <w:p>
      <w:pPr>
        <w:pStyle w:val="ListParagraph"/>
        <w:numPr>
          <w:ilvl w:val="0"/>
          <w:numId w:val="18"/>
        </w:numPr>
      </w:pPr>
      <w:r>
        <w:t xml:space="preserve">☐ Payer le salaire : écriture au journal BQ (421 au débit, 512 au crédit).</w:t>
      </w:r>
    </w:p>
    <w:p>
      <w:pPr>
        <w:pStyle w:val="ListParagraph"/>
        <w:numPr>
          <w:ilvl w:val="0"/>
          <w:numId w:val="18"/>
        </w:numPr>
      </w:pPr>
      <w:r>
        <w:t xml:space="preserve">☐ Imprimer le bulletin : toutes les colonnes des cotisations tiennent dans la page.</w:t>
      </w:r>
    </w:p>
    <w:p>
      <w:pPr>
        <w:pStyle w:val="ListParagraph"/>
        <w:numPr>
          <w:ilvl w:val="0"/>
          <w:numId w:val="18"/>
        </w:numPr>
      </w:pPr>
      <w:r>
        <w:t xml:space="preserve">☐ Enregistrer la sortie d'un salarié : il n'apparaît plus dans la paie suivante, ses bulletins sont conservés.</w:t>
      </w:r>
    </w:p>
    <w:p>
      <w:pPr>
        <w:pStyle w:val="Heading2"/>
      </w:pPr>
      <w:r>
        <w:t xml:space="preserve">11. Mon entreprise et sauvegarde</w:t>
      </w:r>
    </w:p>
    <w:p>
      <w:pPr>
        <w:pStyle w:val="ListParagraph"/>
        <w:numPr>
          <w:ilvl w:val="0"/>
          <w:numId w:val="19"/>
        </w:numPr>
      </w:pPr>
      <w:r>
        <w:t xml:space="preserve">☐ </w:t>
      </w:r>
      <w:r>
        <w:rPr>
          <w:b/>
        </w:rPr>
        <w:t xml:space="preserve">Mon entreprise</w:t>
      </w:r>
      <w:r>
        <w:t xml:space="preserve"> : modifier l'adresse ou le SIRET. La modification apparaît sur la facture imprimée.</w:t>
      </w:r>
    </w:p>
    <w:p>
      <w:pPr>
        <w:pStyle w:val="ListParagraph"/>
        <w:numPr>
          <w:ilvl w:val="0"/>
          <w:numId w:val="19"/>
        </w:numPr>
      </w:pPr>
      <w:r>
        <w:t xml:space="preserve">☐ </w:t>
      </w:r>
      <w:r>
        <w:rPr>
          <w:b/>
        </w:rPr>
        <w:t xml:space="preserve">Sauvegarde</w:t>
      </w:r>
      <w:r>
        <w:t xml:space="preserve"> : télécharger une sauvegarde, créer un contact, puis Restaurer cette sauvegarde. Le contact créé a disparu.</w:t>
      </w:r>
    </w:p>
    <w:p>
      <w:pPr>
        <w:pStyle w:val="Heading2"/>
      </w:pPr>
      <w:r>
        <w:t xml:space="preserve">12. Fin du test</w:t>
      </w:r>
    </w:p>
    <w:p>
      <w:pPr>
        <w:pStyle w:val="ListParagraph"/>
        <w:numPr>
          <w:ilvl w:val="0"/>
          <w:numId w:val="20"/>
        </w:numPr>
      </w:pPr>
      <w:r>
        <w:t xml:space="preserve">☐ </w:t>
      </w:r>
      <w:r>
        <w:rPr>
          <w:b/>
        </w:rPr>
        <w:t xml:space="preserve">Comptabilité → Clôture &amp; FEC → Clôturer l'exercice</w:t>
      </w:r>
      <w:r>
        <w:t xml:space="preserve"> : les à-nouveaux sont créés et plus aucune écriture n'est possible sur 2026.</w:t>
      </w:r>
    </w:p>
    <w:p>
      <w:pPr>
        <w:pStyle w:val="ListParagraph"/>
        <w:numPr>
          <w:ilvl w:val="0"/>
          <w:numId w:val="20"/>
        </w:numPr>
      </w:pPr>
      <w:r>
        <w:t xml:space="preserve">☐ </w:t>
      </w:r>
      <w:r>
        <w:rPr>
          <w:b/>
        </w:rPr>
        <w:t xml:space="preserve">Rouvrir</w:t>
      </w:r>
      <w:r>
        <w:t xml:space="preserve"> l'exercice.</w:t>
      </w:r>
    </w:p>
    <w:p>
      <w:pPr>
        <w:pStyle w:val="ListParagraph"/>
        <w:numPr>
          <w:ilvl w:val="0"/>
          <w:numId w:val="20"/>
        </w:numPr>
      </w:pPr>
      <w:r>
        <w:t xml:space="preserve">☐ Restaurer la sauvegarde du début.</w:t>
      </w:r>
    </w:p>
    <w:p>
      <w:pPr>
        <w:pStyle w:val="ListParagraph"/>
        <w:numPr>
          <w:ilvl w:val="0"/>
          <w:numId w:val="20"/>
        </w:numPr>
      </w:pPr>
      <w:r>
        <w:t xml:space="preserve">☐ Côté prof : ouvrir l'entreprise de l'élève. Tout ce qu'il a fait apparaît dans son journal d'activité.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MyGestion — protocole de test élève</dc:title>
  <dc:description>Claude Docs node/86c3ecc5-d666@15 docx-w7</dc:description>
  <cp:revision>15</cp:revision>
</cp:coreProperties>
</file>